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36"/>
          <w:szCs w:val="36"/>
          <w:rtl w:val="0"/>
        </w:rPr>
        <w:t xml:space="preserve">Winning Campaigns:</w:t>
      </w:r>
      <w:r w:rsidDel="00000000" w:rsidR="00000000" w:rsidRPr="00000000">
        <w:rPr>
          <w:rFonts w:ascii="Calibri" w:cs="Calibri" w:eastAsia="Calibri" w:hAnsi="Calibri"/>
          <w:smallCaps w:val="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36"/>
          <w:szCs w:val="36"/>
          <w:rtl w:val="0"/>
        </w:rPr>
        <w:t xml:space="preserve">Benchmarks for Success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A winning campaign has…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clear idea of how many votes it needs to 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strategy and 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strong voter contact program that calls for 1.) 3-6 integrated contacts with the targeted universe of voters, 2.) a maximum amount of person to person contact on the part of candidate and volunteers, and 3.) produces results that are able to be measured against the goal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voter identification coding and tracking system, a centralized data base and regular qualitative checks on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3-5 strong key leaders, excluding staff,  who are action oriented and dependable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committed, capable and energetic campaign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growing volunteer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fundraising plan and donor base that adequately supports the campaign plan and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mallCaps w:val="0"/>
          <w:sz w:val="28"/>
          <w:szCs w:val="28"/>
          <w:rtl w:val="0"/>
        </w:rPr>
        <w:t xml:space="preserve">A strong GOTV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32"/>
          <w:szCs w:val="32"/>
          <w:rtl w:val="0"/>
        </w:rPr>
        <w:t xml:space="preserve">Strongly preferred: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Candidate and campaign manager have a clearly defined division of labor and a relationship of mutual trust and respect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Field structure is transitioning from centralized to de-centralized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Organizational support is rooted in the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leaders and/or staff work together as a team with clearly defined areas of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Volunteers are respected, well trained and supervised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voter file is in good order, maintained by one person and updated regularly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800" w:right="1800" w:header="21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1104900</wp:posOffset>
          </wp:positionH>
          <wp:positionV relativeFrom="paragraph">
            <wp:posOffset>-962024</wp:posOffset>
          </wp:positionV>
          <wp:extent cx="3279955" cy="105727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995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i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